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hAnsi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6299200</wp:posOffset>
            </wp:positionH>
            <wp:positionV relativeFrom="page">
              <wp:posOffset>457200</wp:posOffset>
            </wp:positionV>
            <wp:extent cx="800100" cy="781050"/>
            <wp:effectExtent l="0" t="0" r="0" b="0"/>
            <wp:wrapSquare wrapText="bothSides" distL="57150" distR="57150" distT="57150" distB="57150"/>
            <wp:docPr id="1073741825" name="officeArt object" descr="Tas Valle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s Valley Logo.jpg" descr="Tas Valley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ind w:left="720" w:firstLine="720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St Mary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s Tasbugh Growth Plan 2016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GROWING IN DISCIPLESHIP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Following Jesus.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Learning to see Him more clearly, love Him more dearly and follow Him more nearly.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What are the good things we are doing already?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Regular, varied, well-attended Sunday services with biblical teaching with children</w:t>
      </w:r>
      <w:r>
        <w:rPr>
          <w:rFonts w:ascii="Comic Sans MS" w:hAnsi="Comic Sans MS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s church two Sunday a month.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1 Bible study / Discussion groups and 2 Cell Group;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Young people have opportunities to contribute in services (at the end of some services in the monthly all age, and in special services such as the annual Crib Service.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Weekly assemblies &amp; regular school ministry including bible provision to YR 1 &amp; leavers at Y6 &amp; development of </w:t>
      </w:r>
      <w:r>
        <w:rPr>
          <w:rFonts w:ascii="Comic Sans MS" w:hAnsi="Comic Sans MS" w:hint="default"/>
          <w:color w:val="000000"/>
          <w:sz w:val="20"/>
          <w:szCs w:val="20"/>
          <w:u w:color="000000"/>
          <w:rtl w:val="0"/>
          <w:lang w:val="en-US"/>
        </w:rPr>
        <w:t>‘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Open the Book</w:t>
      </w:r>
      <w:r>
        <w:rPr>
          <w:rFonts w:ascii="Comic Sans MS" w:hAnsi="Comic Sans MS" w:hint="default"/>
          <w:color w:val="000000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Team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Special opportunities for Prayer &amp; Meditation including 2 Local Houses of Prayer.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Freedom Caf</w:t>
      </w:r>
      <w:r>
        <w:rPr>
          <w:rFonts w:ascii="Comic Sans MS" w:hAnsi="Comic Sans MS" w:hint="default"/>
          <w:color w:val="000000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which takes place on the first Sunday of every month at the School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How do we feel God is calling us to grow in this area in the long term?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Deepening our prayer life.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Encourage Bible reading and personal and group study and application.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Training and recruiting new readers and intercessors for Sundays.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Regular review of an effective service Rota for regular public worship.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What steps shall we take this year?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Build on 24/7 prayer experience to form more Local Houses of prayer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Continued recruiting and training of new intercessors, and readers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GROWING IN SERVICE 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Responding to human need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Caring for God</w:t>
      </w:r>
      <w:r>
        <w:rPr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 creation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Transforming unjust structures in society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What are the good things we are doing already?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Mutual pastoral support and visiting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informal system as needs arise in community and through the weekly prayer visiting.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Weekly </w:t>
      </w:r>
      <w:r>
        <w:rPr>
          <w:color w:val="000000"/>
          <w:sz w:val="20"/>
          <w:szCs w:val="20"/>
          <w:u w:color="000000"/>
          <w:rtl w:val="0"/>
          <w:lang w:val="en-US"/>
        </w:rPr>
        <w:t>‘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Coffee Pot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social gathering in church room.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Fortnightly craft group.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Monthly St Mary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s Guild meetings.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Maintaining our historic church building &amp; opening it during daylight hours.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Offering church building for community events (e.g. concerts, choir).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Strong links with the uniform organisations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Annual Shoebox Appeal.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Harvest and community events.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Quarterly Church Newsletter, Yellow Pages.  Flags on church tower, incl. St George Vimpel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Charitable support (Childrens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Society - Christingle; Norwich Foodbank - Harvest; British Legion-Remembrance)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Rolling support through the year for Foodbank.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How do we feel God is calling us to grow in this area in the long term?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Developing the Pastoral Group further and participate in community events.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Developing Coffee pot out reach.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Explore the opportunity of a caf</w:t>
      </w:r>
      <w:r>
        <w:rPr>
          <w:rFonts w:ascii="Comic Sans MS" w:hAnsi="Comic Sans MS" w:hint="default"/>
          <w:color w:val="000000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in the church room on a Saturday.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What steps shall we take this year? 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Annual fundraising with info sharing via notice-board.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GROWING IN NUMBERS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Helping more people to find faith  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Helping people to join our congregation 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What are the good things we are doing already?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Befriending neighbors and work colleagues. 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High quality welcome and strong community offered at varied services including refreshments.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We have an, improved service books through the work of the Worship Team.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Links with cells boost Sunday attendance.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Growing Children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s Church, linked to Open the Book and good relationships with young families.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Growing the young people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s work, including recruiting new leaders.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Develping the Freedom Caf</w:t>
      </w:r>
      <w:r>
        <w:rPr>
          <w:rFonts w:ascii="Comic Sans MS" w:hAnsi="Comic Sans MS" w:hint="default"/>
          <w:color w:val="000000"/>
          <w:sz w:val="20"/>
          <w:szCs w:val="20"/>
          <w:u w:color="000000"/>
          <w:rtl w:val="0"/>
          <w:lang w:val="en-US"/>
        </w:rPr>
        <w:t xml:space="preserve">é 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further and building relationship with new attendees.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Prayer walking the parish asking residents for their prayer requests.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Living Nativity </w:t>
      </w:r>
      <w:r>
        <w:rPr>
          <w:rFonts w:ascii="Comic Sans MS" w:hAnsi="Comic Sans MS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For Schools and villagers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How do we feel God is calling us to grow in this area in the long term?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Growing links with families within our parishes while being mindful of our exsisting congregation.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Inviting those married/baptised in our church building to come back on special occasions, e.g. anniversary, birthday, etc.  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Also encouraging lapsed worshippers to reunite with church.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What steps shall we take this year? 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 xml:space="preserve">Being open to input of our Pioneer Curate. </w:t>
      </w:r>
    </w:p>
    <w:p>
      <w:pPr>
        <w:pStyle w:val="Normal.0"/>
        <w:rPr>
          <w:rFonts w:ascii="Comic Sans MS" w:cs="Comic Sans MS" w:hAnsi="Comic Sans MS" w:eastAsia="Comic Sans MS"/>
          <w:color w:val="000000"/>
          <w:sz w:val="20"/>
          <w:szCs w:val="20"/>
          <w:u w:color="000000"/>
        </w:rPr>
      </w:pPr>
      <w:r>
        <w:rPr>
          <w:rFonts w:ascii="Comic Sans MS" w:hAnsi="Comic Sans MS"/>
          <w:color w:val="000000"/>
          <w:sz w:val="20"/>
          <w:szCs w:val="20"/>
          <w:u w:color="000000"/>
          <w:rtl w:val="0"/>
          <w:lang w:val="en-US"/>
        </w:rPr>
        <w:t>Flower Festival</w:t>
      </w:r>
    </w:p>
    <w:p>
      <w:pPr>
        <w:pStyle w:val="Normal.0"/>
        <w:rPr>
          <w:rFonts w:ascii="Comic Sans MS" w:cs="Comic Sans MS" w:hAnsi="Comic Sans MS" w:eastAsia="Comic Sans MS"/>
          <w:color w:val="0070c0"/>
          <w:sz w:val="20"/>
          <w:szCs w:val="20"/>
          <w:u w:color="0070c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548dd4"/>
          <w:sz w:val="20"/>
          <w:szCs w:val="20"/>
          <w:u w:color="548dd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548dd4"/>
          <w:sz w:val="20"/>
          <w:szCs w:val="20"/>
          <w:u w:color="548dd4"/>
        </w:rPr>
      </w:pPr>
    </w:p>
    <w:p>
      <w:pPr>
        <w:pStyle w:val="Normal.0"/>
      </w:pPr>
      <w:r>
        <w:rPr>
          <w:rFonts w:ascii="Arial" w:cs="Arial" w:hAnsi="Arial" w:eastAsia="Arial"/>
          <w:b w:val="1"/>
          <w:bCs w:val="1"/>
          <w:color w:val="548dd4"/>
          <w:sz w:val="20"/>
          <w:szCs w:val="20"/>
          <w:u w:color="548dd4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</w:tabs>
        <w:ind w:left="21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4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</w:tabs>
        <w:ind w:left="64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0"/>
  </w:abstractNum>
  <w:abstractNum w:abstractNumId="3">
    <w:multiLevelType w:val="hybridMultilevel"/>
    <w:styleLink w:val="List 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</w:tabs>
        <w:ind w:left="21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4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</w:tabs>
        <w:ind w:left="64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</w:tabs>
        <w:ind w:left="21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4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</w:tabs>
        <w:ind w:left="64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</w:tabs>
        <w:ind w:left="21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4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</w:tabs>
        <w:ind w:left="64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List 1"/>
  </w:abstractNum>
  <w:abstractNum w:abstractNumId="9">
    <w:multiLevelType w:val="hybridMultilevel"/>
    <w:styleLink w:val="List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</w:tabs>
        <w:ind w:left="21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4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</w:tabs>
        <w:ind w:left="64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4"/>
  </w:abstractNum>
  <w:abstractNum w:abstractNumId="11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</w:tabs>
        <w:ind w:left="21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4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</w:tabs>
        <w:ind w:left="64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List 22"/>
  </w:abstractNum>
  <w:abstractNum w:abstractNumId="13">
    <w:multiLevelType w:val="hybridMultilevel"/>
    <w:styleLink w:val="List 2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§"/>
      <w:lvlJc w:val="left"/>
      <w:pPr>
        <w:tabs>
          <w:tab w:val="left" w:pos="720"/>
        </w:tabs>
        <w:ind w:left="21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4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§"/>
      <w:lvlJc w:val="left"/>
      <w:pPr>
        <w:tabs>
          <w:tab w:val="left" w:pos="720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8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0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§"/>
      <w:lvlJc w:val="left"/>
      <w:pPr>
        <w:tabs>
          <w:tab w:val="left" w:pos="720"/>
        </w:tabs>
        <w:ind w:left="642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List 0">
    <w:name w:val="List 0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List 1">
    <w:name w:val="List 1"/>
    <w:pPr>
      <w:numPr>
        <w:numId w:val="9"/>
      </w:numPr>
    </w:pPr>
  </w:style>
  <w:style w:type="numbering" w:styleId="Imported Style 4">
    <w:name w:val="Imported Style 4"/>
    <w:pPr>
      <w:numPr>
        <w:numId w:val="11"/>
      </w:numPr>
    </w:pPr>
  </w:style>
  <w:style w:type="numbering" w:styleId="List 22">
    <w:name w:val="List 22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